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C" w:rsidRDefault="00182BFC" w:rsidP="000C3217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  <w:lang w:eastAsia="es-B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-227965</wp:posOffset>
            </wp:positionV>
            <wp:extent cx="933450" cy="425450"/>
            <wp:effectExtent l="19050" t="0" r="0" b="0"/>
            <wp:wrapNone/>
            <wp:docPr id="2" name="Picture 2" descr="Descripción: cid:image001.jpg@01CBB807.586EC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cid:image001.jpg@01CBB807.586ECF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0C" w:rsidRDefault="0024070C" w:rsidP="000C3217">
      <w:pPr>
        <w:jc w:val="center"/>
        <w:rPr>
          <w:rFonts w:ascii="Tahoma" w:hAnsi="Tahoma" w:cs="Tahoma"/>
          <w:b/>
          <w:sz w:val="24"/>
          <w:szCs w:val="24"/>
        </w:rPr>
      </w:pPr>
    </w:p>
    <w:p w:rsidR="009B5C20" w:rsidRPr="000C3217" w:rsidRDefault="0026446A" w:rsidP="000C3217">
      <w:pPr>
        <w:jc w:val="center"/>
        <w:rPr>
          <w:rFonts w:ascii="Tahoma" w:hAnsi="Tahoma" w:cs="Tahoma"/>
          <w:b/>
          <w:sz w:val="24"/>
          <w:szCs w:val="24"/>
        </w:rPr>
      </w:pPr>
      <w:r w:rsidRPr="000C3217">
        <w:rPr>
          <w:rFonts w:ascii="Tahoma" w:hAnsi="Tahoma" w:cs="Tahoma"/>
          <w:b/>
          <w:sz w:val="24"/>
          <w:szCs w:val="24"/>
        </w:rPr>
        <w:t>YACIMIENTOS PETROLÍFEROS FISCALES BOLIVIANOS</w:t>
      </w:r>
    </w:p>
    <w:p w:rsidR="0026446A" w:rsidRPr="000C3217" w:rsidRDefault="0026446A" w:rsidP="000C3217">
      <w:pPr>
        <w:jc w:val="center"/>
        <w:rPr>
          <w:rFonts w:ascii="Tahoma" w:hAnsi="Tahoma" w:cs="Tahoma"/>
          <w:b/>
          <w:sz w:val="24"/>
          <w:szCs w:val="24"/>
        </w:rPr>
      </w:pPr>
      <w:r w:rsidRPr="000C3217">
        <w:rPr>
          <w:rFonts w:ascii="Tahoma" w:hAnsi="Tahoma" w:cs="Tahoma"/>
          <w:b/>
          <w:sz w:val="24"/>
          <w:szCs w:val="24"/>
        </w:rPr>
        <w:t>DIRECCIÓN GENERAL DE AUDITORÍA</w:t>
      </w:r>
    </w:p>
    <w:p w:rsidR="0026446A" w:rsidRPr="000C3217" w:rsidRDefault="0026446A" w:rsidP="000C3217">
      <w:pPr>
        <w:jc w:val="center"/>
        <w:rPr>
          <w:rFonts w:ascii="Tahoma" w:hAnsi="Tahoma" w:cs="Tahoma"/>
          <w:b/>
          <w:sz w:val="24"/>
          <w:szCs w:val="24"/>
        </w:rPr>
      </w:pPr>
      <w:r w:rsidRPr="000C3217">
        <w:rPr>
          <w:rFonts w:ascii="Tahoma" w:hAnsi="Tahoma" w:cs="Tahoma"/>
          <w:b/>
          <w:sz w:val="24"/>
          <w:szCs w:val="24"/>
        </w:rPr>
        <w:t>RESUMEN EJECUTIVO</w:t>
      </w:r>
    </w:p>
    <w:p w:rsidR="0026446A" w:rsidRPr="000C3217" w:rsidRDefault="0026446A">
      <w:pPr>
        <w:rPr>
          <w:rFonts w:ascii="Tahoma" w:hAnsi="Tahoma" w:cs="Tahoma"/>
        </w:rPr>
      </w:pPr>
    </w:p>
    <w:p w:rsidR="004376F1" w:rsidRDefault="0026446A" w:rsidP="004376F1">
      <w:pPr>
        <w:jc w:val="both"/>
        <w:rPr>
          <w:rFonts w:ascii="Tahoma" w:hAnsi="Tahoma" w:cs="Tahoma"/>
          <w:bCs/>
        </w:rPr>
      </w:pPr>
      <w:r w:rsidRPr="007A3B94">
        <w:rPr>
          <w:rFonts w:ascii="Tahoma" w:hAnsi="Tahoma" w:cs="Tahoma"/>
          <w:bCs/>
        </w:rPr>
        <w:t xml:space="preserve">Informe de auditoría interna Nº </w:t>
      </w:r>
      <w:r w:rsidR="00D44608" w:rsidRPr="00D44608">
        <w:rPr>
          <w:rFonts w:ascii="Tahoma" w:hAnsi="Tahoma" w:cs="Tahoma"/>
          <w:lang w:val="pt-BR"/>
        </w:rPr>
        <w:t>DGA-23 RALP-19/2013</w:t>
      </w:r>
      <w:r w:rsidR="004F383C">
        <w:rPr>
          <w:rFonts w:ascii="Tahoma" w:hAnsi="Tahoma" w:cs="Tahoma"/>
          <w:bCs/>
        </w:rPr>
        <w:t xml:space="preserve">, emergente de la Auditoría Especial al proceso de contratación de “Empresa Internacional Especializada para realizar la Ingeniería, Procura, Construcción y Puesta en Marcha (IPC) de la Planta de Separación de Líquidos </w:t>
      </w:r>
      <w:r w:rsidR="00D44608">
        <w:rPr>
          <w:rFonts w:ascii="Tahoma" w:hAnsi="Tahoma" w:cs="Tahoma"/>
          <w:bCs/>
        </w:rPr>
        <w:t>Gran Chaco</w:t>
      </w:r>
      <w:r w:rsidR="004F383C">
        <w:rPr>
          <w:rFonts w:ascii="Tahoma" w:hAnsi="Tahoma" w:cs="Tahoma"/>
          <w:bCs/>
        </w:rPr>
        <w:t xml:space="preserve">”, por el período comprendido entre el </w:t>
      </w:r>
      <w:r w:rsidR="00D44608" w:rsidRPr="007D0D9D">
        <w:rPr>
          <w:rFonts w:ascii="Tahoma" w:hAnsi="Tahoma" w:cs="Tahoma"/>
        </w:rPr>
        <w:t>8 de abril de 2011</w:t>
      </w:r>
      <w:r w:rsidR="00D44608">
        <w:rPr>
          <w:rFonts w:ascii="Tahoma" w:hAnsi="Tahoma" w:cs="Tahoma"/>
        </w:rPr>
        <w:t xml:space="preserve"> </w:t>
      </w:r>
      <w:r w:rsidR="00D44608" w:rsidRPr="007D0D9D">
        <w:rPr>
          <w:rFonts w:ascii="Tahoma" w:hAnsi="Tahoma" w:cs="Tahoma"/>
        </w:rPr>
        <w:t>al 26 de</w:t>
      </w:r>
      <w:r w:rsidR="00D44608">
        <w:rPr>
          <w:rFonts w:ascii="Tahoma" w:hAnsi="Tahoma" w:cs="Tahoma"/>
        </w:rPr>
        <w:t xml:space="preserve"> </w:t>
      </w:r>
      <w:r w:rsidR="00D44608" w:rsidRPr="007D0D9D">
        <w:rPr>
          <w:rFonts w:ascii="Tahoma" w:hAnsi="Tahoma" w:cs="Tahoma"/>
        </w:rPr>
        <w:t>octubre 2011</w:t>
      </w:r>
      <w:r w:rsidR="004F383C">
        <w:rPr>
          <w:rFonts w:ascii="Tahoma" w:hAnsi="Tahoma" w:cs="Tahoma"/>
          <w:bCs/>
        </w:rPr>
        <w:t>.</w:t>
      </w:r>
    </w:p>
    <w:p w:rsidR="004F383C" w:rsidRDefault="004F383C" w:rsidP="004376F1">
      <w:pPr>
        <w:jc w:val="both"/>
        <w:rPr>
          <w:rFonts w:ascii="Tahoma" w:hAnsi="Tahoma" w:cs="Tahoma"/>
          <w:bCs/>
        </w:rPr>
      </w:pPr>
    </w:p>
    <w:p w:rsidR="004F383C" w:rsidRDefault="004F383C" w:rsidP="004376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 objetivo del examen fue expresar una opinión independiente sobre el cu</w:t>
      </w:r>
      <w:r w:rsidR="00A81191"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</w:rPr>
        <w:t>plimiento de</w:t>
      </w:r>
      <w:r w:rsidR="00D44608">
        <w:rPr>
          <w:rFonts w:ascii="Tahoma" w:hAnsi="Tahoma" w:cs="Tahoma"/>
          <w:bCs/>
        </w:rPr>
        <w:t>l ordenamiento jurídico administrativo</w:t>
      </w:r>
      <w:r>
        <w:rPr>
          <w:rFonts w:ascii="Tahoma" w:hAnsi="Tahoma" w:cs="Tahoma"/>
          <w:bCs/>
        </w:rPr>
        <w:t xml:space="preserve"> vigente, referid</w:t>
      </w:r>
      <w:r w:rsidR="007977D6">
        <w:rPr>
          <w:rFonts w:ascii="Tahoma" w:hAnsi="Tahoma" w:cs="Tahoma"/>
          <w:bCs/>
        </w:rPr>
        <w:t>o</w:t>
      </w:r>
      <w:r>
        <w:rPr>
          <w:rFonts w:ascii="Tahoma" w:hAnsi="Tahoma" w:cs="Tahoma"/>
          <w:bCs/>
        </w:rPr>
        <w:t xml:space="preserve"> al proceso de contratación de la Ingeniería, Procura, Construcción y Puesta en Marcha (IPC) de la Planta de Separación de Líquidos </w:t>
      </w:r>
      <w:r w:rsidR="00D44608">
        <w:rPr>
          <w:rFonts w:ascii="Tahoma" w:hAnsi="Tahoma" w:cs="Tahoma"/>
          <w:bCs/>
        </w:rPr>
        <w:t>Gran Chaco</w:t>
      </w:r>
      <w:r>
        <w:rPr>
          <w:rFonts w:ascii="Tahoma" w:hAnsi="Tahoma" w:cs="Tahoma"/>
          <w:bCs/>
        </w:rPr>
        <w:t xml:space="preserve">, correspondiente a la convocatoria pública externa N° </w:t>
      </w:r>
      <w:r w:rsidR="00D44608" w:rsidRPr="007D0D9D">
        <w:rPr>
          <w:rFonts w:ascii="Tahoma" w:hAnsi="Tahoma" w:cs="Tahoma"/>
          <w:bCs/>
        </w:rPr>
        <w:t>CE-CCO-004-GNPSL-2011</w:t>
      </w:r>
      <w:r w:rsidR="00A81191">
        <w:rPr>
          <w:rFonts w:ascii="Tahoma" w:hAnsi="Tahoma" w:cs="Tahoma"/>
          <w:bCs/>
        </w:rPr>
        <w:t>, en la modalidad de Contrata</w:t>
      </w:r>
      <w:r w:rsidR="00D44608">
        <w:rPr>
          <w:rFonts w:ascii="Tahoma" w:hAnsi="Tahoma" w:cs="Tahoma"/>
          <w:bCs/>
        </w:rPr>
        <w:t>ción por Comparación de Ofertas,</w:t>
      </w:r>
      <w:r w:rsidR="00D44608" w:rsidRPr="00D44608">
        <w:rPr>
          <w:rFonts w:ascii="Tahoma" w:hAnsi="Tahoma" w:cs="Tahoma"/>
          <w:bCs/>
        </w:rPr>
        <w:t xml:space="preserve"> </w:t>
      </w:r>
      <w:r w:rsidR="00D44608" w:rsidRPr="007D0D9D">
        <w:rPr>
          <w:rFonts w:ascii="Tahoma" w:hAnsi="Tahoma" w:cs="Tahoma"/>
          <w:bCs/>
        </w:rPr>
        <w:t>establecid</w:t>
      </w:r>
      <w:r w:rsidR="00D44608">
        <w:rPr>
          <w:rFonts w:ascii="Tahoma" w:hAnsi="Tahoma" w:cs="Tahoma"/>
          <w:bCs/>
        </w:rPr>
        <w:t>o</w:t>
      </w:r>
      <w:r w:rsidR="00D44608" w:rsidRPr="007D0D9D">
        <w:rPr>
          <w:rFonts w:ascii="Tahoma" w:hAnsi="Tahoma" w:cs="Tahoma"/>
          <w:bCs/>
        </w:rPr>
        <w:t xml:space="preserve"> en el Reglamento para la Contratación de Bienes, Obras y Servicios en el Extranjero</w:t>
      </w:r>
      <w:r w:rsidR="00D44608">
        <w:rPr>
          <w:rFonts w:ascii="Tahoma" w:hAnsi="Tahoma" w:cs="Tahoma"/>
          <w:bCs/>
        </w:rPr>
        <w:t>.</w:t>
      </w:r>
    </w:p>
    <w:p w:rsidR="00A81191" w:rsidRDefault="00A81191" w:rsidP="004376F1">
      <w:pPr>
        <w:jc w:val="both"/>
        <w:rPr>
          <w:rFonts w:ascii="Tahoma" w:hAnsi="Tahoma" w:cs="Tahoma"/>
          <w:bCs/>
        </w:rPr>
      </w:pPr>
    </w:p>
    <w:p w:rsidR="00A81191" w:rsidRDefault="00A81191" w:rsidP="004376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Constituyen objeto de la auditoría la documentación e información emitida en la Gerencia Nacional de Plantas de Separación de Líquidos, Gerencia Nacional de Administración y Finanzas y sus unidades dependientes, Comisión de Evaluación, y otras, relacionadas al Proceso de Contratación de la Ingeniería, Procura, Construcción y Puesta en Marcha </w:t>
      </w:r>
      <w:r w:rsidR="00D44608">
        <w:rPr>
          <w:rFonts w:ascii="Tahoma" w:hAnsi="Tahoma" w:cs="Tahoma"/>
          <w:bCs/>
        </w:rPr>
        <w:t xml:space="preserve">(IPC) </w:t>
      </w:r>
      <w:r>
        <w:rPr>
          <w:rFonts w:ascii="Tahoma" w:hAnsi="Tahoma" w:cs="Tahoma"/>
          <w:bCs/>
        </w:rPr>
        <w:t>de la Planta de Separación de Líquidos</w:t>
      </w:r>
      <w:r w:rsidR="00997DB5">
        <w:rPr>
          <w:rFonts w:ascii="Tahoma" w:hAnsi="Tahoma" w:cs="Tahoma"/>
          <w:bCs/>
        </w:rPr>
        <w:t xml:space="preserve"> </w:t>
      </w:r>
      <w:r w:rsidR="00D44608">
        <w:rPr>
          <w:rFonts w:ascii="Tahoma" w:hAnsi="Tahoma" w:cs="Tahoma"/>
          <w:bCs/>
        </w:rPr>
        <w:t>Gran Chaco</w:t>
      </w:r>
      <w:r w:rsidR="00997DB5">
        <w:rPr>
          <w:rFonts w:ascii="Tahoma" w:hAnsi="Tahoma" w:cs="Tahoma"/>
          <w:bCs/>
        </w:rPr>
        <w:t xml:space="preserve"> N° </w:t>
      </w:r>
      <w:r w:rsidR="00D44608" w:rsidRPr="007D0D9D">
        <w:rPr>
          <w:rFonts w:ascii="Tahoma" w:hAnsi="Tahoma" w:cs="Tahoma"/>
          <w:bCs/>
        </w:rPr>
        <w:t>CE-CCO-004-GNPSL-2011</w:t>
      </w:r>
      <w:r w:rsidR="00997DB5">
        <w:rPr>
          <w:rFonts w:ascii="Tahoma" w:hAnsi="Tahoma" w:cs="Tahoma"/>
          <w:bCs/>
        </w:rPr>
        <w:t xml:space="preserve">, tales como </w:t>
      </w:r>
      <w:r w:rsidR="0072679A">
        <w:rPr>
          <w:rFonts w:ascii="Tahoma" w:hAnsi="Tahoma" w:cs="Tahoma"/>
          <w:bCs/>
        </w:rPr>
        <w:t>I</w:t>
      </w:r>
      <w:r w:rsidR="00997DB5">
        <w:rPr>
          <w:rFonts w:ascii="Tahoma" w:hAnsi="Tahoma" w:cs="Tahoma"/>
          <w:bCs/>
        </w:rPr>
        <w:t xml:space="preserve">nforme </w:t>
      </w:r>
      <w:r w:rsidR="0072679A">
        <w:rPr>
          <w:rFonts w:ascii="Tahoma" w:hAnsi="Tahoma" w:cs="Tahoma"/>
          <w:bCs/>
        </w:rPr>
        <w:t>T</w:t>
      </w:r>
      <w:r w:rsidR="00997DB5">
        <w:rPr>
          <w:rFonts w:ascii="Tahoma" w:hAnsi="Tahoma" w:cs="Tahoma"/>
          <w:bCs/>
        </w:rPr>
        <w:t xml:space="preserve">écnico de </w:t>
      </w:r>
      <w:r w:rsidR="0072679A">
        <w:rPr>
          <w:rFonts w:ascii="Tahoma" w:hAnsi="Tahoma" w:cs="Tahoma"/>
          <w:bCs/>
        </w:rPr>
        <w:t>J</w:t>
      </w:r>
      <w:r w:rsidR="00997DB5">
        <w:rPr>
          <w:rFonts w:ascii="Tahoma" w:hAnsi="Tahoma" w:cs="Tahoma"/>
          <w:bCs/>
        </w:rPr>
        <w:t xml:space="preserve">ustificación de </w:t>
      </w:r>
      <w:r w:rsidR="0072679A">
        <w:rPr>
          <w:rFonts w:ascii="Tahoma" w:hAnsi="Tahoma" w:cs="Tahoma"/>
          <w:bCs/>
        </w:rPr>
        <w:t>N</w:t>
      </w:r>
      <w:r w:rsidR="00997DB5">
        <w:rPr>
          <w:rFonts w:ascii="Tahoma" w:hAnsi="Tahoma" w:cs="Tahoma"/>
          <w:bCs/>
        </w:rPr>
        <w:t xml:space="preserve">ecesidad para el inicio del proceso de contratación, </w:t>
      </w:r>
      <w:r w:rsidR="0072679A">
        <w:rPr>
          <w:rFonts w:ascii="Tahoma" w:hAnsi="Tahoma" w:cs="Tahoma"/>
          <w:bCs/>
        </w:rPr>
        <w:t>E</w:t>
      </w:r>
      <w:r w:rsidR="00997DB5">
        <w:rPr>
          <w:rFonts w:ascii="Tahoma" w:hAnsi="Tahoma" w:cs="Tahoma"/>
          <w:bCs/>
        </w:rPr>
        <w:t xml:space="preserve">specificaciones </w:t>
      </w:r>
      <w:r w:rsidR="0072679A">
        <w:rPr>
          <w:rFonts w:ascii="Tahoma" w:hAnsi="Tahoma" w:cs="Tahoma"/>
          <w:bCs/>
        </w:rPr>
        <w:t>T</w:t>
      </w:r>
      <w:r w:rsidR="00997DB5">
        <w:rPr>
          <w:rFonts w:ascii="Tahoma" w:hAnsi="Tahoma" w:cs="Tahoma"/>
          <w:bCs/>
        </w:rPr>
        <w:t xml:space="preserve">écnicas, </w:t>
      </w:r>
      <w:r w:rsidR="0072679A">
        <w:rPr>
          <w:rFonts w:ascii="Tahoma" w:hAnsi="Tahoma" w:cs="Tahoma"/>
          <w:bCs/>
        </w:rPr>
        <w:t>C</w:t>
      </w:r>
      <w:r w:rsidR="00997DB5">
        <w:rPr>
          <w:rFonts w:ascii="Tahoma" w:hAnsi="Tahoma" w:cs="Tahoma"/>
          <w:bCs/>
        </w:rPr>
        <w:t xml:space="preserve">ertificación </w:t>
      </w:r>
      <w:r w:rsidR="0072679A">
        <w:rPr>
          <w:rFonts w:ascii="Tahoma" w:hAnsi="Tahoma" w:cs="Tahoma"/>
          <w:bCs/>
        </w:rPr>
        <w:t>P</w:t>
      </w:r>
      <w:r w:rsidR="00997DB5">
        <w:rPr>
          <w:rFonts w:ascii="Tahoma" w:hAnsi="Tahoma" w:cs="Tahoma"/>
          <w:bCs/>
        </w:rPr>
        <w:t>resupuestaria, Documento Base de Contratación, invitaciones a potenciales proponentes, propuestas de los proponentes, informes de la Comisión de Calificación, carpetas del</w:t>
      </w:r>
      <w:r w:rsidR="00274072">
        <w:rPr>
          <w:rFonts w:ascii="Tahoma" w:hAnsi="Tahoma" w:cs="Tahoma"/>
          <w:bCs/>
        </w:rPr>
        <w:t xml:space="preserve"> proceso de contratación, documentos presentados por la empresa adjudicada y contrato suscrito.</w:t>
      </w:r>
    </w:p>
    <w:p w:rsidR="00274072" w:rsidRDefault="00274072" w:rsidP="004376F1">
      <w:pPr>
        <w:jc w:val="both"/>
        <w:rPr>
          <w:rFonts w:ascii="Tahoma" w:hAnsi="Tahoma" w:cs="Tahoma"/>
          <w:bCs/>
        </w:rPr>
      </w:pPr>
    </w:p>
    <w:p w:rsidR="00274072" w:rsidRDefault="00274072" w:rsidP="004376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Como resultado del proceso de auditoría se han identificado aspectos de control interno que consideramos requieren atención oportuna, cuyas recomendaciones contribuirán </w:t>
      </w:r>
      <w:r w:rsidR="00A9656E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 xml:space="preserve">l fortalecimiento de los controles existentes, para mejorar la salvaguarda efectiva del patrimonio y mejorar la eficacia administrativa de la </w:t>
      </w:r>
      <w:r w:rsidR="007977D6">
        <w:rPr>
          <w:rFonts w:ascii="Tahoma" w:hAnsi="Tahoma" w:cs="Tahoma"/>
          <w:bCs/>
        </w:rPr>
        <w:t>E</w:t>
      </w:r>
      <w:r>
        <w:rPr>
          <w:rFonts w:ascii="Tahoma" w:hAnsi="Tahoma" w:cs="Tahoma"/>
          <w:bCs/>
        </w:rPr>
        <w:t>mpresa, para la emisión confiable y oportuna de información.</w:t>
      </w:r>
    </w:p>
    <w:p w:rsidR="00274072" w:rsidRDefault="00274072" w:rsidP="004376F1">
      <w:pPr>
        <w:jc w:val="both"/>
        <w:rPr>
          <w:rFonts w:ascii="Tahoma" w:hAnsi="Tahoma" w:cs="Tahoma"/>
          <w:bCs/>
        </w:rPr>
      </w:pPr>
    </w:p>
    <w:p w:rsidR="00274072" w:rsidRDefault="00274072" w:rsidP="00182BFC">
      <w:pPr>
        <w:tabs>
          <w:tab w:val="left" w:pos="567"/>
        </w:tabs>
        <w:spacing w:before="120" w:after="120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2.1</w:t>
      </w:r>
      <w:r>
        <w:rPr>
          <w:rFonts w:ascii="Tahoma" w:hAnsi="Tahoma" w:cs="Tahoma"/>
          <w:bCs/>
        </w:rPr>
        <w:tab/>
      </w:r>
      <w:r w:rsidR="00182BFC">
        <w:rPr>
          <w:rFonts w:ascii="Tahoma" w:hAnsi="Tahoma" w:cs="Tahoma"/>
          <w:bCs/>
        </w:rPr>
        <w:t>Publicación</w:t>
      </w:r>
      <w:r w:rsidR="00D44608">
        <w:rPr>
          <w:rFonts w:ascii="Tahoma" w:hAnsi="Tahoma" w:cs="Tahoma"/>
          <w:bCs/>
        </w:rPr>
        <w:t xml:space="preserve"> de los resultados del Proceso de </w:t>
      </w:r>
      <w:r w:rsidR="00182BFC">
        <w:rPr>
          <w:rFonts w:ascii="Tahoma" w:hAnsi="Tahoma" w:cs="Tahoma"/>
          <w:bCs/>
        </w:rPr>
        <w:t>Contratación</w:t>
      </w:r>
      <w:r w:rsidR="00D44608">
        <w:rPr>
          <w:rFonts w:ascii="Tahoma" w:hAnsi="Tahoma" w:cs="Tahoma"/>
          <w:bCs/>
        </w:rPr>
        <w:t xml:space="preserve"> en el SICOES, con 115 </w:t>
      </w:r>
      <w:r w:rsidR="00182BFC">
        <w:rPr>
          <w:rFonts w:ascii="Tahoma" w:hAnsi="Tahoma" w:cs="Tahoma"/>
          <w:bCs/>
        </w:rPr>
        <w:t>días</w:t>
      </w:r>
      <w:r w:rsidR="00D44608">
        <w:rPr>
          <w:rFonts w:ascii="Tahoma" w:hAnsi="Tahoma" w:cs="Tahoma"/>
          <w:bCs/>
        </w:rPr>
        <w:t xml:space="preserve"> de retraso</w:t>
      </w:r>
      <w:r>
        <w:rPr>
          <w:rFonts w:ascii="Tahoma" w:hAnsi="Tahoma" w:cs="Tahoma"/>
          <w:bCs/>
        </w:rPr>
        <w:t>.</w:t>
      </w:r>
    </w:p>
    <w:p w:rsidR="00274072" w:rsidRDefault="00274072" w:rsidP="00182BFC">
      <w:pPr>
        <w:tabs>
          <w:tab w:val="left" w:pos="567"/>
        </w:tabs>
        <w:spacing w:before="120" w:after="120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2.2</w:t>
      </w:r>
      <w:r>
        <w:rPr>
          <w:rFonts w:ascii="Tahoma" w:hAnsi="Tahoma" w:cs="Tahoma"/>
          <w:bCs/>
        </w:rPr>
        <w:tab/>
      </w:r>
      <w:r w:rsidR="00182BFC">
        <w:rPr>
          <w:rFonts w:ascii="Tahoma" w:hAnsi="Tahoma" w:cs="Tahoma"/>
          <w:bCs/>
        </w:rPr>
        <w:t>Ampliación del cronograma de plazos para la presentación de acuerdos y boletas de confidencialidad de información posterior al vencimiento</w:t>
      </w:r>
      <w:r>
        <w:rPr>
          <w:rFonts w:ascii="Tahoma" w:hAnsi="Tahoma" w:cs="Tahoma"/>
          <w:bCs/>
        </w:rPr>
        <w:t>.</w:t>
      </w:r>
    </w:p>
    <w:p w:rsidR="00274072" w:rsidRDefault="00274072" w:rsidP="00182BFC">
      <w:pPr>
        <w:tabs>
          <w:tab w:val="left" w:pos="567"/>
        </w:tabs>
        <w:spacing w:before="120" w:after="120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2.3</w:t>
      </w:r>
      <w:r>
        <w:rPr>
          <w:rFonts w:ascii="Tahoma" w:hAnsi="Tahoma" w:cs="Tahoma"/>
          <w:bCs/>
        </w:rPr>
        <w:tab/>
      </w:r>
      <w:r w:rsidR="00182BFC">
        <w:rPr>
          <w:rFonts w:ascii="Tahoma" w:hAnsi="Tahoma" w:cs="Tahoma"/>
          <w:bCs/>
        </w:rPr>
        <w:t>Algunas variables de calificación establecidas en los Términos de Referencia del Documento Base de Contratación, con criterios de evaluación generales</w:t>
      </w:r>
      <w:r>
        <w:rPr>
          <w:rFonts w:ascii="Tahoma" w:hAnsi="Tahoma" w:cs="Tahoma"/>
          <w:bCs/>
        </w:rPr>
        <w:t>.</w:t>
      </w:r>
    </w:p>
    <w:p w:rsidR="00274072" w:rsidRDefault="00274072" w:rsidP="00274072">
      <w:pPr>
        <w:tabs>
          <w:tab w:val="left" w:pos="567"/>
        </w:tabs>
        <w:jc w:val="both"/>
        <w:rPr>
          <w:rFonts w:ascii="Tahoma" w:hAnsi="Tahoma" w:cs="Tahoma"/>
        </w:rPr>
      </w:pPr>
    </w:p>
    <w:p w:rsidR="00274072" w:rsidRPr="004376F1" w:rsidRDefault="00274072" w:rsidP="00274072">
      <w:pPr>
        <w:tabs>
          <w:tab w:val="left" w:pos="567"/>
        </w:tabs>
        <w:jc w:val="both"/>
        <w:rPr>
          <w:rFonts w:ascii="Tahoma" w:hAnsi="Tahoma" w:cs="Tahoma"/>
        </w:rPr>
      </w:pPr>
    </w:p>
    <w:p w:rsidR="004376F1" w:rsidRDefault="00274072" w:rsidP="00A446A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La Paz </w:t>
      </w:r>
      <w:r w:rsidR="00182BFC">
        <w:rPr>
          <w:rFonts w:ascii="Tahoma" w:hAnsi="Tahoma" w:cs="Tahoma"/>
          <w:bCs/>
        </w:rPr>
        <w:t>1</w:t>
      </w:r>
      <w:r w:rsidR="006656AB">
        <w:rPr>
          <w:rFonts w:ascii="Tahoma" w:hAnsi="Tahoma" w:cs="Tahoma"/>
          <w:bCs/>
        </w:rPr>
        <w:t>9</w:t>
      </w:r>
      <w:r>
        <w:rPr>
          <w:rFonts w:ascii="Tahoma" w:hAnsi="Tahoma" w:cs="Tahoma"/>
          <w:bCs/>
        </w:rPr>
        <w:t xml:space="preserve"> de </w:t>
      </w:r>
      <w:r w:rsidR="00182BFC">
        <w:rPr>
          <w:rFonts w:ascii="Tahoma" w:hAnsi="Tahoma" w:cs="Tahoma"/>
          <w:bCs/>
        </w:rPr>
        <w:t>junio</w:t>
      </w:r>
      <w:r>
        <w:rPr>
          <w:rFonts w:ascii="Tahoma" w:hAnsi="Tahoma" w:cs="Tahoma"/>
          <w:bCs/>
        </w:rPr>
        <w:t xml:space="preserve"> de 2013</w:t>
      </w:r>
    </w:p>
    <w:p w:rsidR="000C3217" w:rsidRPr="000C3217" w:rsidRDefault="000C3217" w:rsidP="000C3217">
      <w:pPr>
        <w:jc w:val="center"/>
        <w:rPr>
          <w:rFonts w:ascii="Tahoma" w:hAnsi="Tahoma" w:cs="Tahoma"/>
          <w:b/>
        </w:rPr>
      </w:pPr>
    </w:p>
    <w:sectPr w:rsidR="000C3217" w:rsidRPr="000C3217" w:rsidSect="00274072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A"/>
    <w:rsid w:val="000C245E"/>
    <w:rsid w:val="000C2B74"/>
    <w:rsid w:val="000C3217"/>
    <w:rsid w:val="00182BFC"/>
    <w:rsid w:val="001E445A"/>
    <w:rsid w:val="0022265A"/>
    <w:rsid w:val="0024070C"/>
    <w:rsid w:val="0026446A"/>
    <w:rsid w:val="00274072"/>
    <w:rsid w:val="0028344B"/>
    <w:rsid w:val="00304E62"/>
    <w:rsid w:val="00372C6F"/>
    <w:rsid w:val="003B61DB"/>
    <w:rsid w:val="004376F1"/>
    <w:rsid w:val="00496D11"/>
    <w:rsid w:val="004A217F"/>
    <w:rsid w:val="004E5000"/>
    <w:rsid w:val="004F383C"/>
    <w:rsid w:val="005928DC"/>
    <w:rsid w:val="00596863"/>
    <w:rsid w:val="005E2D24"/>
    <w:rsid w:val="00640DD2"/>
    <w:rsid w:val="006656AB"/>
    <w:rsid w:val="006B1402"/>
    <w:rsid w:val="006D6A79"/>
    <w:rsid w:val="00715952"/>
    <w:rsid w:val="0072679A"/>
    <w:rsid w:val="00726B40"/>
    <w:rsid w:val="007977D6"/>
    <w:rsid w:val="007A3B94"/>
    <w:rsid w:val="007B6206"/>
    <w:rsid w:val="00802D8E"/>
    <w:rsid w:val="00814D80"/>
    <w:rsid w:val="008D6E1F"/>
    <w:rsid w:val="008E12D1"/>
    <w:rsid w:val="008E5A34"/>
    <w:rsid w:val="00997DB5"/>
    <w:rsid w:val="009B5C20"/>
    <w:rsid w:val="00A446AF"/>
    <w:rsid w:val="00A81191"/>
    <w:rsid w:val="00A9656E"/>
    <w:rsid w:val="00AE45EF"/>
    <w:rsid w:val="00B11BBD"/>
    <w:rsid w:val="00B2612D"/>
    <w:rsid w:val="00BE5F59"/>
    <w:rsid w:val="00C50327"/>
    <w:rsid w:val="00CE5061"/>
    <w:rsid w:val="00D15D91"/>
    <w:rsid w:val="00D44608"/>
    <w:rsid w:val="00E52A6D"/>
    <w:rsid w:val="00E8369C"/>
    <w:rsid w:val="00EB5324"/>
    <w:rsid w:val="00EE735B"/>
    <w:rsid w:val="00F66CC1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F5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es-MX"/>
    </w:rPr>
  </w:style>
  <w:style w:type="character" w:customStyle="1" w:styleId="EncabezadoCar">
    <w:name w:val="Encabezado Car"/>
    <w:link w:val="Encabezado"/>
    <w:rsid w:val="00BE5F59"/>
    <w:rPr>
      <w:rFonts w:ascii="Times New Roman" w:eastAsia="Times New Roman" w:hAnsi="Times New Roman"/>
      <w:lang w:eastAsia="es-MX"/>
    </w:rPr>
  </w:style>
  <w:style w:type="paragraph" w:styleId="Continuarlista">
    <w:name w:val="List Continue"/>
    <w:basedOn w:val="Normal"/>
    <w:rsid w:val="00BE5F59"/>
    <w:pPr>
      <w:spacing w:after="120"/>
      <w:ind w:left="283"/>
    </w:pPr>
    <w:rPr>
      <w:rFonts w:ascii="Times New Roman" w:eastAsia="Times New Roman" w:hAnsi="Times New Roman"/>
      <w:sz w:val="20"/>
      <w:szCs w:val="20"/>
      <w:lang w:val="es-ES" w:eastAsia="es-MX"/>
    </w:rPr>
  </w:style>
  <w:style w:type="paragraph" w:customStyle="1" w:styleId="Default">
    <w:name w:val="Default"/>
    <w:rsid w:val="00A446A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F59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es-MX"/>
    </w:rPr>
  </w:style>
  <w:style w:type="character" w:customStyle="1" w:styleId="EncabezadoCar">
    <w:name w:val="Encabezado Car"/>
    <w:link w:val="Encabezado"/>
    <w:rsid w:val="00BE5F59"/>
    <w:rPr>
      <w:rFonts w:ascii="Times New Roman" w:eastAsia="Times New Roman" w:hAnsi="Times New Roman"/>
      <w:lang w:eastAsia="es-MX"/>
    </w:rPr>
  </w:style>
  <w:style w:type="paragraph" w:styleId="Continuarlista">
    <w:name w:val="List Continue"/>
    <w:basedOn w:val="Normal"/>
    <w:rsid w:val="00BE5F59"/>
    <w:pPr>
      <w:spacing w:after="120"/>
      <w:ind w:left="283"/>
    </w:pPr>
    <w:rPr>
      <w:rFonts w:ascii="Times New Roman" w:eastAsia="Times New Roman" w:hAnsi="Times New Roman"/>
      <w:sz w:val="20"/>
      <w:szCs w:val="20"/>
      <w:lang w:val="es-ES" w:eastAsia="es-MX"/>
    </w:rPr>
  </w:style>
  <w:style w:type="paragraph" w:customStyle="1" w:styleId="Default">
    <w:name w:val="Default"/>
    <w:rsid w:val="00A446A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BB807.586ECF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Links>
    <vt:vector size="6" baseType="variant">
      <vt:variant>
        <vt:i4>7405645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cid:image001.jpg@01CBB807.586ECF50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Silvetty Vargas</dc:creator>
  <cp:lastModifiedBy>Jhoseline Sharon Montenegro Pareja</cp:lastModifiedBy>
  <cp:revision>2</cp:revision>
  <cp:lastPrinted>2013-06-18T15:30:00Z</cp:lastPrinted>
  <dcterms:created xsi:type="dcterms:W3CDTF">2015-03-10T13:38:00Z</dcterms:created>
  <dcterms:modified xsi:type="dcterms:W3CDTF">2015-03-10T13:38:00Z</dcterms:modified>
</cp:coreProperties>
</file>