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47" w:rsidRPr="00BA309F" w:rsidRDefault="00145F47" w:rsidP="00145F47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145F47" w:rsidRPr="00BA309F" w:rsidRDefault="00145F47" w:rsidP="00145F47">
      <w:pPr>
        <w:jc w:val="both"/>
        <w:rPr>
          <w:rFonts w:ascii="Tahoma" w:hAnsi="Tahoma" w:cs="Tahoma"/>
          <w:sz w:val="18"/>
          <w:szCs w:val="18"/>
        </w:rPr>
      </w:pPr>
    </w:p>
    <w:p w:rsidR="00145F47" w:rsidRPr="00BA309F" w:rsidRDefault="00145F47" w:rsidP="00145F47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BA309F">
        <w:rPr>
          <w:rFonts w:ascii="Tahoma" w:hAnsi="Tahoma" w:cs="Tahoma"/>
          <w:noProof/>
          <w:sz w:val="18"/>
          <w:szCs w:val="18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AF64D3A" wp14:editId="05FD997E">
            <wp:simplePos x="0" y="0"/>
            <wp:positionH relativeFrom="column">
              <wp:posOffset>-306705</wp:posOffset>
            </wp:positionH>
            <wp:positionV relativeFrom="paragraph">
              <wp:posOffset>-716280</wp:posOffset>
            </wp:positionV>
            <wp:extent cx="1323975" cy="581025"/>
            <wp:effectExtent l="19050" t="0" r="9525" b="0"/>
            <wp:wrapNone/>
            <wp:docPr id="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09F">
        <w:rPr>
          <w:rFonts w:ascii="Tahoma" w:hAnsi="Tahoma" w:cs="Tahoma"/>
          <w:b/>
          <w:sz w:val="18"/>
          <w:szCs w:val="18"/>
        </w:rPr>
        <w:t>YACIMIENTOS PETROLIFEROS FISCALES BOLIVIANOS</w:t>
      </w:r>
    </w:p>
    <w:p w:rsidR="00145F47" w:rsidRPr="0038180A" w:rsidRDefault="00145F47" w:rsidP="00145F47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38180A">
        <w:rPr>
          <w:rFonts w:ascii="Tahoma" w:hAnsi="Tahoma" w:cs="Tahoma"/>
          <w:b/>
          <w:sz w:val="20"/>
          <w:szCs w:val="20"/>
        </w:rPr>
        <w:t xml:space="preserve">DIRECCIÓN GENERAL DE </w:t>
      </w:r>
      <w:r w:rsidR="00266984">
        <w:rPr>
          <w:rFonts w:ascii="Tahoma" w:hAnsi="Tahoma" w:cs="Tahoma"/>
          <w:b/>
          <w:sz w:val="20"/>
          <w:szCs w:val="20"/>
        </w:rPr>
        <w:t>AUDITORÍA</w:t>
      </w:r>
    </w:p>
    <w:p w:rsidR="00145F47" w:rsidRPr="0038180A" w:rsidRDefault="00145F47" w:rsidP="00145F47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38180A">
        <w:rPr>
          <w:rFonts w:ascii="Tahoma" w:hAnsi="Tahoma" w:cs="Tahoma"/>
          <w:b/>
          <w:sz w:val="20"/>
          <w:szCs w:val="20"/>
        </w:rPr>
        <w:t>RESUMEN EJECUTIVO</w:t>
      </w:r>
    </w:p>
    <w:p w:rsidR="00145F47" w:rsidRPr="007718C9" w:rsidRDefault="00145F47" w:rsidP="00145F47">
      <w:pPr>
        <w:tabs>
          <w:tab w:val="left" w:pos="8505"/>
        </w:tabs>
        <w:ind w:right="-70"/>
        <w:jc w:val="both"/>
        <w:rPr>
          <w:rFonts w:ascii="Tahoma" w:hAnsi="Tahoma" w:cs="Tahoma"/>
          <w:sz w:val="20"/>
          <w:szCs w:val="20"/>
        </w:rPr>
      </w:pPr>
      <w:r w:rsidRPr="007718C9">
        <w:rPr>
          <w:rFonts w:ascii="Tahoma" w:hAnsi="Tahoma" w:cs="Tahoma"/>
          <w:sz w:val="20"/>
          <w:szCs w:val="20"/>
          <w:lang w:val="es-MX"/>
        </w:rPr>
        <w:t xml:space="preserve">Informe </w:t>
      </w:r>
      <w:r w:rsidR="006D4652" w:rsidRPr="007718C9">
        <w:rPr>
          <w:rFonts w:ascii="Tahoma" w:hAnsi="Tahoma" w:cs="Tahoma"/>
          <w:sz w:val="20"/>
          <w:szCs w:val="20"/>
          <w:lang w:val="es-MX"/>
        </w:rPr>
        <w:t xml:space="preserve">de Control Interno </w:t>
      </w:r>
      <w:r w:rsidRPr="007718C9">
        <w:rPr>
          <w:rFonts w:ascii="Tahoma" w:hAnsi="Tahoma" w:cs="Tahoma"/>
          <w:sz w:val="20"/>
          <w:szCs w:val="20"/>
          <w:lang w:val="es-MX"/>
        </w:rPr>
        <w:t xml:space="preserve">N° </w:t>
      </w:r>
      <w:r w:rsidR="001B5FC3" w:rsidRPr="007718C9">
        <w:rPr>
          <w:rFonts w:ascii="Tahoma" w:hAnsi="Tahoma" w:cs="Tahoma"/>
          <w:sz w:val="20"/>
          <w:szCs w:val="20"/>
        </w:rPr>
        <w:t>DGA-25 RALP-21</w:t>
      </w:r>
      <w:r w:rsidR="00873DD2" w:rsidRPr="007718C9">
        <w:rPr>
          <w:rFonts w:ascii="Tahoma" w:hAnsi="Tahoma" w:cs="Tahoma"/>
          <w:sz w:val="20"/>
          <w:szCs w:val="20"/>
        </w:rPr>
        <w:t>/2013</w:t>
      </w:r>
      <w:r w:rsidRPr="007718C9">
        <w:rPr>
          <w:rFonts w:ascii="Tahoma" w:hAnsi="Tahoma" w:cs="Tahoma"/>
          <w:sz w:val="20"/>
          <w:szCs w:val="20"/>
        </w:rPr>
        <w:t xml:space="preserve">, </w:t>
      </w:r>
      <w:r w:rsidR="006D4652" w:rsidRPr="007718C9">
        <w:rPr>
          <w:rFonts w:ascii="Tahoma" w:hAnsi="Tahoma" w:cs="Tahoma"/>
          <w:sz w:val="20"/>
          <w:szCs w:val="20"/>
        </w:rPr>
        <w:t xml:space="preserve">emergente de la </w:t>
      </w:r>
      <w:r w:rsidR="00191833" w:rsidRPr="007718C9">
        <w:rPr>
          <w:rFonts w:ascii="Tahoma" w:hAnsi="Tahoma" w:cs="Tahoma"/>
          <w:sz w:val="20"/>
          <w:szCs w:val="20"/>
        </w:rPr>
        <w:t xml:space="preserve">Auditoría Especial </w:t>
      </w:r>
      <w:r w:rsidR="00873DD2" w:rsidRPr="007718C9">
        <w:rPr>
          <w:rFonts w:ascii="Tahoma" w:hAnsi="Tahoma" w:cs="Tahoma"/>
          <w:sz w:val="20"/>
          <w:szCs w:val="20"/>
        </w:rPr>
        <w:t>a la Administración de la</w:t>
      </w:r>
      <w:r w:rsidR="001B5FC3" w:rsidRPr="007718C9">
        <w:rPr>
          <w:rFonts w:ascii="Tahoma" w:hAnsi="Tahoma" w:cs="Tahoma"/>
          <w:sz w:val="20"/>
          <w:szCs w:val="20"/>
        </w:rPr>
        <w:t xml:space="preserve"> Estación de Servicio “El Progreso</w:t>
      </w:r>
      <w:r w:rsidR="00873DD2" w:rsidRPr="007718C9">
        <w:rPr>
          <w:rFonts w:ascii="Tahoma" w:hAnsi="Tahoma" w:cs="Tahoma"/>
          <w:sz w:val="20"/>
          <w:szCs w:val="20"/>
        </w:rPr>
        <w:t xml:space="preserve">”, por el periodo comprendido entre el </w:t>
      </w:r>
      <w:r w:rsidR="007718C9" w:rsidRPr="007718C9">
        <w:rPr>
          <w:rFonts w:ascii="Tahoma" w:hAnsi="Tahoma" w:cs="Tahoma"/>
          <w:sz w:val="20"/>
          <w:szCs w:val="20"/>
        </w:rPr>
        <w:t>1</w:t>
      </w:r>
      <w:r w:rsidR="007718C9">
        <w:rPr>
          <w:rFonts w:ascii="Tahoma" w:hAnsi="Tahoma" w:cs="Tahoma"/>
          <w:sz w:val="20"/>
          <w:szCs w:val="20"/>
        </w:rPr>
        <w:t>°</w:t>
      </w:r>
      <w:r w:rsidR="007718C9" w:rsidRPr="007718C9">
        <w:rPr>
          <w:rFonts w:ascii="Tahoma" w:hAnsi="Tahoma" w:cs="Tahoma"/>
          <w:sz w:val="20"/>
          <w:szCs w:val="20"/>
        </w:rPr>
        <w:t xml:space="preserve"> </w:t>
      </w:r>
      <w:r w:rsidR="007718C9">
        <w:rPr>
          <w:rFonts w:ascii="Tahoma" w:hAnsi="Tahoma" w:cs="Tahoma"/>
          <w:sz w:val="20"/>
          <w:szCs w:val="20"/>
        </w:rPr>
        <w:t xml:space="preserve">de enero de </w:t>
      </w:r>
      <w:r w:rsidR="007718C9" w:rsidRPr="007718C9">
        <w:rPr>
          <w:rFonts w:ascii="Tahoma" w:hAnsi="Tahoma" w:cs="Tahoma"/>
          <w:sz w:val="20"/>
          <w:szCs w:val="20"/>
        </w:rPr>
        <w:t xml:space="preserve">2011 </w:t>
      </w:r>
      <w:r w:rsidR="007718C9">
        <w:rPr>
          <w:rFonts w:ascii="Tahoma" w:hAnsi="Tahoma" w:cs="Tahoma"/>
          <w:sz w:val="20"/>
          <w:szCs w:val="20"/>
        </w:rPr>
        <w:t>al</w:t>
      </w:r>
      <w:r w:rsidR="007718C9" w:rsidRPr="007718C9">
        <w:rPr>
          <w:rFonts w:ascii="Tahoma" w:hAnsi="Tahoma" w:cs="Tahoma"/>
          <w:sz w:val="20"/>
          <w:szCs w:val="20"/>
        </w:rPr>
        <w:t xml:space="preserve"> 31 </w:t>
      </w:r>
      <w:r w:rsidR="007718C9">
        <w:rPr>
          <w:rFonts w:ascii="Tahoma" w:hAnsi="Tahoma" w:cs="Tahoma"/>
          <w:sz w:val="20"/>
          <w:szCs w:val="20"/>
        </w:rPr>
        <w:t>de diciembre de 2</w:t>
      </w:r>
      <w:r w:rsidR="007718C9" w:rsidRPr="007718C9">
        <w:rPr>
          <w:rFonts w:ascii="Tahoma" w:hAnsi="Tahoma" w:cs="Tahoma"/>
          <w:sz w:val="20"/>
          <w:szCs w:val="20"/>
        </w:rPr>
        <w:t>012</w:t>
      </w:r>
      <w:r w:rsidR="000F4CCC" w:rsidRPr="007718C9">
        <w:rPr>
          <w:rFonts w:ascii="Tahoma" w:hAnsi="Tahoma" w:cs="Tahoma"/>
          <w:sz w:val="20"/>
          <w:szCs w:val="20"/>
        </w:rPr>
        <w:t>.</w:t>
      </w:r>
    </w:p>
    <w:p w:rsidR="00145F47" w:rsidRPr="00B53D8F" w:rsidRDefault="00145F47" w:rsidP="00145F47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es-BO"/>
        </w:rPr>
      </w:pPr>
      <w:r w:rsidRPr="00873DD2">
        <w:rPr>
          <w:rFonts w:ascii="Tahoma" w:hAnsi="Tahoma" w:cs="Tahoma"/>
          <w:sz w:val="20"/>
          <w:szCs w:val="20"/>
          <w:lang w:eastAsia="es-BO"/>
        </w:rPr>
        <w:t xml:space="preserve">El objetivo del examen fue </w:t>
      </w:r>
      <w:r w:rsidR="00191833" w:rsidRPr="00873DD2">
        <w:rPr>
          <w:rFonts w:ascii="Tahoma" w:hAnsi="Tahoma" w:cs="Tahoma"/>
          <w:bCs/>
          <w:sz w:val="20"/>
          <w:szCs w:val="20"/>
        </w:rPr>
        <w:t>e</w:t>
      </w:r>
      <w:r w:rsidR="00191833" w:rsidRPr="00873DD2">
        <w:rPr>
          <w:rFonts w:ascii="Tahoma" w:hAnsi="Tahoma" w:cs="Tahoma"/>
          <w:sz w:val="20"/>
          <w:szCs w:val="20"/>
        </w:rPr>
        <w:t xml:space="preserve">xpresar </w:t>
      </w:r>
      <w:r w:rsidR="00873DD2" w:rsidRPr="00873DD2">
        <w:rPr>
          <w:rFonts w:ascii="Tahoma" w:hAnsi="Tahoma" w:cs="Tahoma"/>
          <w:sz w:val="20"/>
          <w:szCs w:val="20"/>
          <w:lang w:eastAsia="es-BO"/>
        </w:rPr>
        <w:t xml:space="preserve">una opinión independiente sobre </w:t>
      </w:r>
      <w:r w:rsidR="00873DD2" w:rsidRPr="00873DD2">
        <w:rPr>
          <w:rFonts w:ascii="Tahoma" w:hAnsi="Tahoma" w:cs="Tahoma"/>
          <w:sz w:val="20"/>
          <w:szCs w:val="20"/>
          <w:lang w:val="es-BO" w:eastAsia="es-MX"/>
        </w:rPr>
        <w:t>el cumplimiento del ordenamiento jurídico, administrativo y otras normas legales aplicables y obligaciones contractuales, respecto de la recepción, administración, movimiento y venta de Gasolina Especial y Diesel Oil en la</w:t>
      </w:r>
      <w:r w:rsidR="007718C9">
        <w:rPr>
          <w:rFonts w:ascii="Tahoma" w:hAnsi="Tahoma" w:cs="Tahoma"/>
          <w:sz w:val="20"/>
          <w:szCs w:val="20"/>
          <w:lang w:val="es-BO" w:eastAsia="es-MX"/>
        </w:rPr>
        <w:t xml:space="preserve"> Estación de Servicio “El Progreso</w:t>
      </w:r>
      <w:r w:rsidR="00873DD2" w:rsidRPr="00873DD2">
        <w:rPr>
          <w:rFonts w:ascii="Tahoma" w:hAnsi="Tahoma" w:cs="Tahoma"/>
          <w:sz w:val="20"/>
          <w:szCs w:val="20"/>
          <w:lang w:val="es-BO" w:eastAsia="es-MX"/>
        </w:rPr>
        <w:t xml:space="preserve">”, así como de los procedimientos e instrumentos </w:t>
      </w:r>
      <w:r w:rsidR="00873DD2" w:rsidRPr="00B53D8F">
        <w:rPr>
          <w:rFonts w:ascii="Tahoma" w:hAnsi="Tahoma" w:cs="Tahoma"/>
          <w:sz w:val="20"/>
          <w:szCs w:val="20"/>
          <w:lang w:val="es-BO" w:eastAsia="es-MX"/>
        </w:rPr>
        <w:t>de control interno incorporados.</w:t>
      </w:r>
    </w:p>
    <w:p w:rsidR="00191833" w:rsidRPr="00873DD2" w:rsidRDefault="00B53D8F" w:rsidP="00191833">
      <w:pPr>
        <w:jc w:val="both"/>
        <w:rPr>
          <w:rFonts w:ascii="Tahoma" w:hAnsi="Tahoma" w:cs="Tahoma"/>
          <w:bCs/>
          <w:sz w:val="20"/>
          <w:szCs w:val="20"/>
        </w:rPr>
      </w:pPr>
      <w:r w:rsidRPr="00B53D8F">
        <w:rPr>
          <w:rFonts w:ascii="Tahoma" w:hAnsi="Tahoma" w:cs="Tahoma"/>
          <w:bCs/>
          <w:sz w:val="20"/>
          <w:szCs w:val="20"/>
        </w:rPr>
        <w:t>Constituyen objeto de la auditoría, entre otros, la documentación de respaldo generada en la recepción, almacenamiento y venta de Gasolina Especial y Diesel Oil y Kerosene; arqueos y depósito de fondos, secado de tanques, etc., generados en la Estación de Servicio “El Progreso”, Distrito Comercial Centro y Dirección Nacional de Estaciones de Servicio</w:t>
      </w:r>
      <w:r>
        <w:rPr>
          <w:rFonts w:ascii="Tahoma" w:hAnsi="Tahoma" w:cs="Tahoma"/>
          <w:bCs/>
        </w:rPr>
        <w:t xml:space="preserve">. </w:t>
      </w:r>
    </w:p>
    <w:p w:rsidR="00873DD2" w:rsidRDefault="00145F47" w:rsidP="00145F4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73DD2">
        <w:rPr>
          <w:rFonts w:ascii="Tahoma" w:hAnsi="Tahoma" w:cs="Tahoma"/>
          <w:sz w:val="20"/>
          <w:szCs w:val="20"/>
        </w:rPr>
        <w:t xml:space="preserve">Como resultado del proceso de </w:t>
      </w:r>
      <w:r w:rsidR="00266984">
        <w:rPr>
          <w:rFonts w:ascii="Tahoma" w:hAnsi="Tahoma" w:cs="Tahoma"/>
          <w:sz w:val="20"/>
          <w:szCs w:val="20"/>
        </w:rPr>
        <w:t>auditoría</w:t>
      </w:r>
      <w:r w:rsidRPr="00873DD2">
        <w:rPr>
          <w:rFonts w:ascii="Tahoma" w:hAnsi="Tahoma" w:cs="Tahoma"/>
          <w:sz w:val="20"/>
          <w:szCs w:val="20"/>
        </w:rPr>
        <w:t xml:space="preserve"> se han identificado aspectos de control interno que consideramos requieren atención oportuna, cuyas recomendaciones contribuirán al fortalecimiento de los controles existentes, </w:t>
      </w:r>
      <w:r w:rsidR="00873DD2" w:rsidRPr="00873DD2">
        <w:rPr>
          <w:rFonts w:ascii="Tahoma" w:hAnsi="Tahoma" w:cs="Tahoma"/>
          <w:sz w:val="20"/>
          <w:szCs w:val="20"/>
        </w:rPr>
        <w:t>con el fin de mejorar la eficacia y eficiencia de los procesos de recepción, administración, movimient</w:t>
      </w:r>
      <w:r w:rsidR="00266984">
        <w:rPr>
          <w:rFonts w:ascii="Tahoma" w:hAnsi="Tahoma" w:cs="Tahoma"/>
          <w:sz w:val="20"/>
          <w:szCs w:val="20"/>
        </w:rPr>
        <w:t xml:space="preserve">o y venta de Gasolina Especial </w:t>
      </w:r>
      <w:r w:rsidR="00873DD2" w:rsidRPr="00873DD2">
        <w:rPr>
          <w:rFonts w:ascii="Tahoma" w:hAnsi="Tahoma" w:cs="Tahoma"/>
          <w:sz w:val="20"/>
          <w:szCs w:val="20"/>
        </w:rPr>
        <w:t>y Diesel Oil en la</w:t>
      </w:r>
      <w:r w:rsidR="00523252">
        <w:rPr>
          <w:rFonts w:ascii="Tahoma" w:hAnsi="Tahoma" w:cs="Tahoma"/>
          <w:sz w:val="20"/>
          <w:szCs w:val="20"/>
        </w:rPr>
        <w:t xml:space="preserve"> Estación de Servicio “El Progreso</w:t>
      </w:r>
      <w:r w:rsidR="00873DD2" w:rsidRPr="00873DD2">
        <w:rPr>
          <w:rFonts w:ascii="Tahoma" w:hAnsi="Tahoma" w:cs="Tahoma"/>
          <w:sz w:val="20"/>
          <w:szCs w:val="20"/>
        </w:rPr>
        <w:t xml:space="preserve"> “.</w:t>
      </w:r>
    </w:p>
    <w:p w:rsidR="0054417C" w:rsidRDefault="0054417C" w:rsidP="00145F4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4417C" w:rsidRDefault="00236F91" w:rsidP="0054417C">
      <w:pPr>
        <w:pStyle w:val="Prrafodelista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Diferencias en movimiento de productos corrientes.</w:t>
      </w:r>
    </w:p>
    <w:p w:rsidR="0054417C" w:rsidRPr="00CF62EA" w:rsidRDefault="0054417C" w:rsidP="0054417C">
      <w:pPr>
        <w:pStyle w:val="Prrafodelista"/>
        <w:ind w:left="567" w:hanging="567"/>
        <w:jc w:val="both"/>
        <w:rPr>
          <w:rFonts w:ascii="Tahoma" w:hAnsi="Tahoma" w:cs="Tahoma"/>
          <w:sz w:val="20"/>
          <w:szCs w:val="20"/>
        </w:rPr>
      </w:pPr>
    </w:p>
    <w:p w:rsidR="00236F91" w:rsidRDefault="00236F91" w:rsidP="00236F91">
      <w:pPr>
        <w:pStyle w:val="Prrafodelista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Salida de volúmenes de kerosene sin justificación expresa  y diferencias en la recepción.</w:t>
      </w:r>
    </w:p>
    <w:p w:rsidR="00236F91" w:rsidRPr="00236F91" w:rsidRDefault="00236F91" w:rsidP="00236F91">
      <w:pPr>
        <w:pStyle w:val="Prrafodelista"/>
        <w:rPr>
          <w:rFonts w:ascii="Tahoma" w:hAnsi="Tahoma" w:cs="Tahoma"/>
          <w:sz w:val="20"/>
          <w:szCs w:val="20"/>
        </w:rPr>
      </w:pPr>
    </w:p>
    <w:p w:rsidR="00236F91" w:rsidRDefault="00236F91" w:rsidP="00236F91">
      <w:pPr>
        <w:pStyle w:val="Prrafodelista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Ausencia de procedimientos para el control físico de volúmenes de productos existentes en los tanques de almacenaje.</w:t>
      </w:r>
    </w:p>
    <w:p w:rsidR="00236F91" w:rsidRPr="00236F91" w:rsidRDefault="00236F91" w:rsidP="00236F91">
      <w:pPr>
        <w:pStyle w:val="Prrafodelista"/>
        <w:rPr>
          <w:rFonts w:ascii="Tahoma" w:hAnsi="Tahoma" w:cs="Tahoma"/>
          <w:sz w:val="20"/>
          <w:szCs w:val="20"/>
        </w:rPr>
      </w:pPr>
    </w:p>
    <w:p w:rsidR="00236F91" w:rsidRDefault="00236F91" w:rsidP="00236F91">
      <w:pPr>
        <w:pStyle w:val="Prrafodelista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Falta de procedimientos para la programación y requerimiento de productos.</w:t>
      </w:r>
    </w:p>
    <w:p w:rsidR="00236F91" w:rsidRPr="00236F91" w:rsidRDefault="00236F91" w:rsidP="00236F91">
      <w:pPr>
        <w:pStyle w:val="Prrafodelista"/>
        <w:rPr>
          <w:rFonts w:ascii="Tahoma" w:hAnsi="Tahoma" w:cs="Tahoma"/>
          <w:sz w:val="20"/>
          <w:szCs w:val="20"/>
        </w:rPr>
      </w:pPr>
    </w:p>
    <w:p w:rsidR="0054417C" w:rsidRDefault="0054417C" w:rsidP="00236F91">
      <w:pPr>
        <w:pStyle w:val="Prrafodelista"/>
        <w:numPr>
          <w:ilvl w:val="0"/>
          <w:numId w:val="3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36F91">
        <w:rPr>
          <w:rFonts w:ascii="Tahoma" w:hAnsi="Tahoma" w:cs="Tahoma"/>
          <w:sz w:val="20"/>
          <w:szCs w:val="20"/>
        </w:rPr>
        <w:tab/>
      </w:r>
    </w:p>
    <w:p w:rsidR="00236F91" w:rsidRPr="00236F91" w:rsidRDefault="00236F91" w:rsidP="00236F91">
      <w:pPr>
        <w:pStyle w:val="Prrafodelista"/>
        <w:rPr>
          <w:rFonts w:ascii="Tahoma" w:hAnsi="Tahoma" w:cs="Tahoma"/>
          <w:sz w:val="20"/>
          <w:szCs w:val="20"/>
        </w:rPr>
      </w:pPr>
    </w:p>
    <w:p w:rsidR="00236F91" w:rsidRPr="00236F91" w:rsidRDefault="00236F91" w:rsidP="00236F91">
      <w:pPr>
        <w:pStyle w:val="Prrafodelista"/>
        <w:ind w:left="567"/>
        <w:jc w:val="both"/>
        <w:rPr>
          <w:rFonts w:ascii="Tahoma" w:hAnsi="Tahoma" w:cs="Tahoma"/>
          <w:sz w:val="2"/>
          <w:szCs w:val="2"/>
        </w:rPr>
      </w:pPr>
    </w:p>
    <w:p w:rsidR="0054417C" w:rsidRPr="00873DD2" w:rsidRDefault="0054417C" w:rsidP="00145F4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45F47" w:rsidRPr="0038180A" w:rsidRDefault="00145F47" w:rsidP="00145F47">
      <w:pPr>
        <w:pStyle w:val="TDC3"/>
        <w:rPr>
          <w:rStyle w:val="Hipervnculo"/>
          <w:rFonts w:ascii="Tahoma" w:hAnsi="Tahoma" w:cs="Tahoma"/>
          <w:noProof/>
          <w:sz w:val="20"/>
          <w:szCs w:val="20"/>
        </w:rPr>
      </w:pPr>
    </w:p>
    <w:p w:rsidR="00145F47" w:rsidRPr="0038180A" w:rsidRDefault="00145F47" w:rsidP="00145F47">
      <w:pPr>
        <w:pStyle w:val="Prrafodelista"/>
        <w:ind w:left="0"/>
        <w:rPr>
          <w:rFonts w:ascii="Tahoma" w:hAnsi="Tahoma" w:cs="Tahoma"/>
          <w:sz w:val="20"/>
          <w:szCs w:val="20"/>
          <w:lang w:val="es-BO"/>
        </w:rPr>
      </w:pPr>
    </w:p>
    <w:p w:rsidR="006D4652" w:rsidRPr="0038180A" w:rsidRDefault="006D4652" w:rsidP="00145F47">
      <w:pPr>
        <w:pStyle w:val="Prrafodelista"/>
        <w:ind w:left="0"/>
        <w:rPr>
          <w:rFonts w:ascii="Tahoma" w:hAnsi="Tahoma" w:cs="Tahoma"/>
          <w:sz w:val="20"/>
          <w:szCs w:val="20"/>
        </w:rPr>
      </w:pPr>
    </w:p>
    <w:p w:rsidR="006D4652" w:rsidRPr="0038180A" w:rsidRDefault="006D4652" w:rsidP="00145F47">
      <w:pPr>
        <w:pStyle w:val="Prrafodelista"/>
        <w:ind w:left="0"/>
        <w:rPr>
          <w:rFonts w:ascii="Tahoma" w:hAnsi="Tahoma" w:cs="Tahoma"/>
          <w:sz w:val="20"/>
          <w:szCs w:val="20"/>
        </w:rPr>
      </w:pPr>
    </w:p>
    <w:p w:rsidR="00145F47" w:rsidRPr="0038180A" w:rsidRDefault="00145F47" w:rsidP="00145F4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8180A">
        <w:rPr>
          <w:rFonts w:ascii="Tahoma" w:hAnsi="Tahoma" w:cs="Tahoma"/>
          <w:sz w:val="20"/>
          <w:szCs w:val="20"/>
        </w:rPr>
        <w:t xml:space="preserve">La Paz, </w:t>
      </w:r>
      <w:r w:rsidR="00036733">
        <w:rPr>
          <w:rFonts w:ascii="Tahoma" w:hAnsi="Tahoma" w:cs="Tahoma"/>
          <w:sz w:val="20"/>
          <w:szCs w:val="20"/>
        </w:rPr>
        <w:t>24</w:t>
      </w:r>
      <w:r w:rsidR="0054417C">
        <w:rPr>
          <w:rFonts w:ascii="Tahoma" w:hAnsi="Tahoma" w:cs="Tahoma"/>
          <w:sz w:val="20"/>
          <w:szCs w:val="20"/>
        </w:rPr>
        <w:t xml:space="preserve"> </w:t>
      </w:r>
      <w:r w:rsidRPr="0038180A">
        <w:rPr>
          <w:rFonts w:ascii="Tahoma" w:hAnsi="Tahoma" w:cs="Tahoma"/>
          <w:sz w:val="20"/>
          <w:szCs w:val="20"/>
        </w:rPr>
        <w:t xml:space="preserve">de </w:t>
      </w:r>
      <w:r w:rsidR="0054417C">
        <w:rPr>
          <w:rFonts w:ascii="Tahoma" w:hAnsi="Tahoma" w:cs="Tahoma"/>
          <w:sz w:val="20"/>
          <w:szCs w:val="20"/>
        </w:rPr>
        <w:t>junio</w:t>
      </w:r>
      <w:r w:rsidR="006D4652" w:rsidRPr="0038180A">
        <w:rPr>
          <w:rFonts w:ascii="Tahoma" w:hAnsi="Tahoma" w:cs="Tahoma"/>
          <w:sz w:val="20"/>
          <w:szCs w:val="20"/>
        </w:rPr>
        <w:t xml:space="preserve"> </w:t>
      </w:r>
      <w:r w:rsidRPr="0038180A">
        <w:rPr>
          <w:rFonts w:ascii="Tahoma" w:hAnsi="Tahoma" w:cs="Tahoma"/>
          <w:sz w:val="20"/>
          <w:szCs w:val="20"/>
        </w:rPr>
        <w:t>de 201</w:t>
      </w:r>
      <w:r w:rsidR="006D4652" w:rsidRPr="0038180A">
        <w:rPr>
          <w:rFonts w:ascii="Tahoma" w:hAnsi="Tahoma" w:cs="Tahoma"/>
          <w:sz w:val="20"/>
          <w:szCs w:val="20"/>
        </w:rPr>
        <w:t>3</w:t>
      </w:r>
      <w:r w:rsidRPr="0038180A">
        <w:rPr>
          <w:rFonts w:ascii="Tahoma" w:hAnsi="Tahoma" w:cs="Tahoma"/>
          <w:sz w:val="20"/>
          <w:szCs w:val="20"/>
        </w:rPr>
        <w:t xml:space="preserve"> </w:t>
      </w:r>
    </w:p>
    <w:p w:rsidR="00B443B9" w:rsidRPr="00BA309F" w:rsidRDefault="00B443B9">
      <w:pPr>
        <w:rPr>
          <w:rFonts w:ascii="Tahoma" w:hAnsi="Tahoma" w:cs="Tahoma"/>
          <w:sz w:val="18"/>
          <w:szCs w:val="18"/>
        </w:rPr>
      </w:pPr>
    </w:p>
    <w:sectPr w:rsidR="00B443B9" w:rsidRPr="00BA309F" w:rsidSect="008E3813">
      <w:footerReference w:type="default" r:id="rId9"/>
      <w:pgSz w:w="12242" w:h="15842" w:code="119"/>
      <w:pgMar w:top="198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94" w:rsidRDefault="00280D94" w:rsidP="008E3813">
      <w:pPr>
        <w:spacing w:after="0"/>
      </w:pPr>
      <w:r>
        <w:separator/>
      </w:r>
    </w:p>
  </w:endnote>
  <w:endnote w:type="continuationSeparator" w:id="0">
    <w:p w:rsidR="00280D94" w:rsidRDefault="00280D94" w:rsidP="008E38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480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3813" w:rsidRDefault="008E3813">
            <w:pPr>
              <w:pStyle w:val="Piedepgina"/>
              <w:jc w:val="right"/>
            </w:pPr>
            <w:r w:rsidRPr="008E3813">
              <w:rPr>
                <w:rFonts w:ascii="Tahoma" w:hAnsi="Tahoma" w:cs="Tahoma"/>
                <w:sz w:val="16"/>
                <w:szCs w:val="16"/>
              </w:rPr>
              <w:t xml:space="preserve">Página </w:t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236F91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8E3813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236F91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8E3813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3813" w:rsidRDefault="008E38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94" w:rsidRDefault="00280D94" w:rsidP="008E3813">
      <w:pPr>
        <w:spacing w:after="0"/>
      </w:pPr>
      <w:r>
        <w:separator/>
      </w:r>
    </w:p>
  </w:footnote>
  <w:footnote w:type="continuationSeparator" w:id="0">
    <w:p w:rsidR="00280D94" w:rsidRDefault="00280D94" w:rsidP="008E38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524E"/>
    <w:multiLevelType w:val="hybridMultilevel"/>
    <w:tmpl w:val="97BC7C72"/>
    <w:lvl w:ilvl="0" w:tplc="400A000F">
      <w:start w:val="1"/>
      <w:numFmt w:val="decimal"/>
      <w:lvlText w:val="%1."/>
      <w:lvlJc w:val="left"/>
      <w:pPr>
        <w:ind w:left="502" w:hanging="360"/>
      </w:p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564315"/>
    <w:multiLevelType w:val="hybridMultilevel"/>
    <w:tmpl w:val="2FC8695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73C"/>
    <w:multiLevelType w:val="hybridMultilevel"/>
    <w:tmpl w:val="1ADA7E56"/>
    <w:lvl w:ilvl="0" w:tplc="400A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47"/>
    <w:rsid w:val="00000BC8"/>
    <w:rsid w:val="00036733"/>
    <w:rsid w:val="000F4780"/>
    <w:rsid w:val="000F4CCC"/>
    <w:rsid w:val="00145F47"/>
    <w:rsid w:val="00191833"/>
    <w:rsid w:val="001B5FC3"/>
    <w:rsid w:val="00236F91"/>
    <w:rsid w:val="00266984"/>
    <w:rsid w:val="00280D94"/>
    <w:rsid w:val="002E6C10"/>
    <w:rsid w:val="0038180A"/>
    <w:rsid w:val="003B2FF1"/>
    <w:rsid w:val="004B6B8D"/>
    <w:rsid w:val="00523252"/>
    <w:rsid w:val="00524704"/>
    <w:rsid w:val="0054417C"/>
    <w:rsid w:val="006D4652"/>
    <w:rsid w:val="007718C9"/>
    <w:rsid w:val="007772BC"/>
    <w:rsid w:val="00873DD2"/>
    <w:rsid w:val="00892A45"/>
    <w:rsid w:val="008E3813"/>
    <w:rsid w:val="00B164DE"/>
    <w:rsid w:val="00B443B9"/>
    <w:rsid w:val="00B53D8F"/>
    <w:rsid w:val="00B97194"/>
    <w:rsid w:val="00BA309F"/>
    <w:rsid w:val="00E02576"/>
    <w:rsid w:val="00F32F88"/>
    <w:rsid w:val="00F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47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45F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5F4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45F47"/>
    <w:pPr>
      <w:spacing w:after="0"/>
      <w:ind w:left="426" w:hanging="426"/>
    </w:pPr>
  </w:style>
  <w:style w:type="paragraph" w:styleId="Encabezado">
    <w:name w:val="header"/>
    <w:basedOn w:val="Normal"/>
    <w:link w:val="EncabezadoCar"/>
    <w:uiPriority w:val="99"/>
    <w:unhideWhenUsed/>
    <w:rsid w:val="008E381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E38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381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813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36F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36F9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47"/>
    <w:pPr>
      <w:spacing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45F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5F47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45F47"/>
    <w:pPr>
      <w:spacing w:after="0"/>
      <w:ind w:left="426" w:hanging="426"/>
    </w:pPr>
  </w:style>
  <w:style w:type="paragraph" w:styleId="Encabezado">
    <w:name w:val="header"/>
    <w:basedOn w:val="Normal"/>
    <w:link w:val="EncabezadoCar"/>
    <w:uiPriority w:val="99"/>
    <w:unhideWhenUsed/>
    <w:rsid w:val="008E381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E38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381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813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36F9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36F9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Zoila Justiniano Olmos</dc:creator>
  <cp:lastModifiedBy>Jhoseline Sharon Montenegro Pareja</cp:lastModifiedBy>
  <cp:revision>2</cp:revision>
  <cp:lastPrinted>2013-06-20T22:28:00Z</cp:lastPrinted>
  <dcterms:created xsi:type="dcterms:W3CDTF">2015-03-10T13:42:00Z</dcterms:created>
  <dcterms:modified xsi:type="dcterms:W3CDTF">2015-03-10T13:42:00Z</dcterms:modified>
</cp:coreProperties>
</file>